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CF" w:rsidRPr="00DA14CF" w:rsidRDefault="00DA14CF" w:rsidP="00DA14CF">
      <w:pPr>
        <w:shd w:val="clear" w:color="auto" w:fill="E0E6F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A14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Кислородные коктейли</w:t>
      </w:r>
    </w:p>
    <w:tbl>
      <w:tblPr>
        <w:tblW w:w="983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39"/>
      </w:tblGrid>
      <w:tr w:rsidR="00DA14CF" w:rsidRPr="00DA14CF" w:rsidTr="00DA14CF">
        <w:trPr>
          <w:tblCellSpacing w:w="0" w:type="dxa"/>
        </w:trPr>
        <w:tc>
          <w:tcPr>
            <w:tcW w:w="9839" w:type="dxa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DA14CF" w:rsidRPr="00DA14CF" w:rsidRDefault="00DA14CF" w:rsidP="00DA14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Современные условия развития общества в России резко обозначили проблему сохранения здоровья населения. По данным Государственного ежегодного доклада «Положение дери в Российской Федерации» за последние годы состояние здоровья детей не имеет положительных тенденций. Здоровые дети составляют не более 3,5%. Данные собственных углубленных исследований свидетельствуют о значительной распространенности заболеваний органов пищеварения, неврологических отклонений, нарушений со стороны </w:t>
            </w:r>
            <w:proofErr w:type="spellStart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>сердечно-сосудистой</w:t>
            </w:r>
            <w:proofErr w:type="spellEnd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системы и др., формирующихся в раннем возрасте. У большинства современных детей и подростков диагностируется 2-3, а у учащихся школ нового типа (гимназий, лицеев) -3-5 хронических заболеваний и функциональных отклонений.</w:t>
            </w:r>
            <w:r w:rsidRPr="00DA14CF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В связи с этим, задача сохранения и укрепления здоровья детей приобретает особую, медико-социальную значимость. Важная роль в решение этой задачи, учитывая массовый характер поражения, отводится организации оздоровительно-профилактических мероприятий в образовательных учреждениях - детских садах и школах, с обязательным использованием возможностей летнего периода.</w:t>
            </w:r>
            <w:r w:rsidRPr="00DA14CF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Одной из составляющих оздоровительных комплексов является </w:t>
            </w:r>
            <w:proofErr w:type="spellStart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>фитотерапия</w:t>
            </w:r>
            <w:proofErr w:type="spellEnd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особенно «активированная», т. е. проведенная в сочетании с </w:t>
            </w:r>
            <w:proofErr w:type="spellStart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>энтеральной</w:t>
            </w:r>
            <w:proofErr w:type="spellEnd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>оксигенацией</w:t>
            </w:r>
            <w:proofErr w:type="spellEnd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 виде кислородных коктейлей. Обоснование применения кислородных коктейлей связано с многими причинами. Кислородная недостаточность занимает важное место в патогенезе многих хронических заболеваний. При любом воспалительном процессе имеет место нарушение кровоснабжения отдельных участков ткани органа, что ведет к нарушению транспорта кислорода к клетке. У практически здоровых детей, недостаточно пребывающих на свежем воздухе, ведущих малоподвижный образ жизни (учеба, телевизор, компьютер), также отмечается </w:t>
            </w:r>
            <w:proofErr w:type="spellStart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>гипоксический</w:t>
            </w:r>
            <w:proofErr w:type="spellEnd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синдром.</w:t>
            </w:r>
            <w:r w:rsidRPr="00DA14CF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spellStart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>Оксигенация</w:t>
            </w:r>
            <w:proofErr w:type="spellEnd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(насыщение кислородом) организма способствует нормализации обменных и рефлекторных процессов. Даже небольшое повышение концентрации кислорода во вдыхаемом воздухе положительно влияет на обмен и перекисное окисление липидов в клеточных мембранах, улучшает показатели гемодинамики, что ведет к повышению работоспособности человека. Благоприятное влияние кислорода при умственном и физическом переутомлении описано многими учеными. Говорят, что 100г кислородного коктейля заменяют трехчасовую прогулку в сосновом бору в летнее время. Ученые придают неоценимое значение оксигенотерапии у детей практически при всех заболеваниях. Токсического действия кислорода в режиме приема кислородного коктейля через рот не обнаружено. При таком методе введения не только создается депонирование кислорода в желудке, откуда он постепенно всасывается, но и происходит стимуляция </w:t>
            </w:r>
            <w:proofErr w:type="spellStart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>механорецепторов</w:t>
            </w:r>
            <w:proofErr w:type="spellEnd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желудка с рефлекторным выделением биологически активных веществ, способствующих проникновению его в ткани. При всасывании кислорода в желудочно-кишечном тракте быстрее повышается парциальное давление в крови. По системе портальной вены кислород в достаточном количестве поступает в печень, где </w:t>
            </w:r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восстанавливает пространственную конфигурацию молекул ферментов, повышая их метаболическую активность, за счет чего улучшаются все виды обмена веществ, биоэнергетика и </w:t>
            </w:r>
            <w:proofErr w:type="spellStart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>детоксицирующая</w:t>
            </w:r>
            <w:proofErr w:type="spellEnd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функция этого органа.</w:t>
            </w:r>
            <w:r w:rsidRPr="00DA14CF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Наиболее эффективной </w:t>
            </w:r>
            <w:proofErr w:type="spellStart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>энтеральная</w:t>
            </w:r>
            <w:proofErr w:type="spellEnd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оксигенотерапия является при заболеваниях ЖКТ: хронических гастродуоденитах, язвенной болезни, колите, при патологии печени и желчевыделительной системы, при </w:t>
            </w:r>
            <w:proofErr w:type="spellStart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>глистно-паразитарных</w:t>
            </w:r>
            <w:proofErr w:type="spellEnd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инвазиях, а также при функциональных нарушениях нервной системы, вызванных эмоциональными и нервными перегрузками.</w:t>
            </w:r>
            <w:r w:rsidRPr="00DA14CF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Принимать кислородную пену лучше натощак за 0,5 -1 час до еды или через 1,5-2 часа после. Можно рекомендовать 2 недельные курсы коктейлей 4-6 раз в год детям, начиная с раннего возраста. На один прием берется от 100 до 300 см</w:t>
            </w:r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</w:rPr>
              <w:t>3</w:t>
            </w:r>
            <w:r w:rsidRPr="00DA14CF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>(в зависимости от возраста).</w:t>
            </w:r>
            <w:r w:rsidRPr="00DA14CF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Противопоказаниями для применения кислородных коктейлей являются </w:t>
            </w:r>
            <w:proofErr w:type="spellStart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>перфоративная</w:t>
            </w:r>
            <w:proofErr w:type="spellEnd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язва и спазм коронарных сосудов, которые в педиатрической практике практически не встречаются.</w:t>
            </w:r>
            <w:r w:rsidRPr="00DA14CF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Таким образом, </w:t>
            </w:r>
            <w:proofErr w:type="spellStart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>энтеральный</w:t>
            </w:r>
            <w:proofErr w:type="spellEnd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метод </w:t>
            </w:r>
            <w:proofErr w:type="spellStart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>оксигенации</w:t>
            </w:r>
            <w:proofErr w:type="spellEnd"/>
            <w:r w:rsidRPr="00DA14CF">
              <w:rPr>
                <w:rFonts w:ascii="Times New Roman" w:eastAsia="Times New Roman" w:hAnsi="Times New Roman" w:cs="Times New Roman"/>
                <w:sz w:val="27"/>
                <w:szCs w:val="27"/>
              </w:rPr>
              <w:t>, доступен для массового применения, экономически выгоден, а главное весьма эффективен и может с успехом включаться в комплекс оздоровительных и профилактических мероприятий у детей.</w:t>
            </w:r>
          </w:p>
          <w:p w:rsidR="00DA14CF" w:rsidRPr="00DA14CF" w:rsidRDefault="00DA14CF" w:rsidP="00DA14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4C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br/>
            </w:r>
            <w:r w:rsidRPr="00DA14CF">
              <w:rPr>
                <w:rFonts w:ascii="Times New Roman" w:eastAsia="Times New Roman" w:hAnsi="Times New Roman" w:cs="Times New Roman"/>
                <w:i/>
                <w:iCs/>
              </w:rPr>
              <w:t>Главный детский гастроэнтеролог г.Екатеринбурга</w:t>
            </w:r>
          </w:p>
          <w:p w:rsidR="00DA14CF" w:rsidRPr="00DA14CF" w:rsidRDefault="00DA14CF" w:rsidP="00DA14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4CF">
              <w:rPr>
                <w:rFonts w:ascii="Times New Roman" w:eastAsia="Times New Roman" w:hAnsi="Times New Roman" w:cs="Times New Roman"/>
                <w:i/>
                <w:iCs/>
              </w:rPr>
              <w:t xml:space="preserve">Начальник Научно-методического отдела ДГКБ №9, </w:t>
            </w:r>
            <w:proofErr w:type="spellStart"/>
            <w:r w:rsidRPr="00DA14CF">
              <w:rPr>
                <w:rFonts w:ascii="Times New Roman" w:eastAsia="Times New Roman" w:hAnsi="Times New Roman" w:cs="Times New Roman"/>
                <w:i/>
                <w:iCs/>
              </w:rPr>
              <w:t>кмн</w:t>
            </w:r>
            <w:proofErr w:type="spellEnd"/>
          </w:p>
        </w:tc>
      </w:tr>
    </w:tbl>
    <w:p w:rsidR="00000000" w:rsidRDefault="00DA14CF" w:rsidP="00DA14CF">
      <w:pPr>
        <w:jc w:val="both"/>
      </w:pPr>
    </w:p>
    <w:sectPr w:rsidR="00000000" w:rsidSect="00DA14CF">
      <w:pgSz w:w="11906" w:h="16838"/>
      <w:pgMar w:top="1134" w:right="722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14CF"/>
    <w:rsid w:val="00DA1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14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14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A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1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3647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2016-03-16T03:23:00Z</dcterms:created>
  <dcterms:modified xsi:type="dcterms:W3CDTF">2016-03-16T03:23:00Z</dcterms:modified>
</cp:coreProperties>
</file>